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67AC" w:rsidRDefault="00FA67AC" w:rsidP="00FA67AC">
      <w:pPr>
        <w:ind w:left="167" w:firstLine="0"/>
      </w:pPr>
    </w:p>
    <w:p w:rsidR="00FA67AC" w:rsidRDefault="00FA67AC" w:rsidP="00FA67AC">
      <w:pPr>
        <w:ind w:left="167" w:firstLine="0"/>
      </w:pPr>
    </w:p>
    <w:p w:rsidR="008D1DEE" w:rsidRDefault="008D1DEE">
      <w:pPr>
        <w:spacing w:after="0" w:line="259" w:lineRule="auto"/>
        <w:ind w:left="182" w:right="0" w:firstLine="0"/>
        <w:jc w:val="left"/>
      </w:pPr>
    </w:p>
    <w:p w:rsidR="008D1DEE" w:rsidRDefault="00D62B9E">
      <w:pPr>
        <w:spacing w:after="71" w:line="265" w:lineRule="auto"/>
        <w:ind w:left="3270" w:right="-15" w:hanging="10"/>
        <w:jc w:val="right"/>
      </w:pPr>
      <w:bookmarkStart w:id="0" w:name="_GoBack"/>
      <w:bookmarkEnd w:id="0"/>
      <w:r>
        <w:t xml:space="preserve">Приложение </w:t>
      </w:r>
    </w:p>
    <w:p w:rsidR="008D1DEE" w:rsidRDefault="00D62B9E">
      <w:pPr>
        <w:pStyle w:val="1"/>
        <w:spacing w:after="0"/>
        <w:ind w:left="530" w:right="341"/>
      </w:pPr>
      <w:r>
        <w:t xml:space="preserve">Информационная справка о проведении Всероссийской олимпиады </w:t>
      </w:r>
      <w:r>
        <w:t xml:space="preserve">по </w:t>
      </w:r>
      <w:proofErr w:type="spellStart"/>
      <w:r>
        <w:t>агрогенетике</w:t>
      </w:r>
      <w:proofErr w:type="spellEnd"/>
      <w:r>
        <w:t xml:space="preserve"> для школьников старших классов «</w:t>
      </w:r>
      <w:proofErr w:type="spellStart"/>
      <w:r>
        <w:t>Иннагрика</w:t>
      </w:r>
      <w:proofErr w:type="spellEnd"/>
      <w:r>
        <w:t xml:space="preserve">» в 2023/24 учебном году </w:t>
      </w:r>
    </w:p>
    <w:p w:rsidR="008D1DEE" w:rsidRDefault="00D62B9E">
      <w:pPr>
        <w:spacing w:after="0" w:line="259" w:lineRule="auto"/>
        <w:ind w:left="182" w:right="0" w:firstLine="0"/>
        <w:jc w:val="left"/>
      </w:pPr>
      <w:r>
        <w:t xml:space="preserve"> </w:t>
      </w:r>
    </w:p>
    <w:p w:rsidR="008D1DEE" w:rsidRDefault="00D62B9E">
      <w:pPr>
        <w:spacing w:after="126"/>
        <w:ind w:left="167" w:right="0"/>
      </w:pPr>
      <w:r>
        <w:t>Всероссийская олимпиада для школьников старших классов «</w:t>
      </w:r>
      <w:proofErr w:type="spellStart"/>
      <w:r>
        <w:t>Иннагрика</w:t>
      </w:r>
      <w:proofErr w:type="spellEnd"/>
      <w:r>
        <w:t xml:space="preserve">» (далее – Олимпиада) – </w:t>
      </w:r>
      <w:r>
        <w:t>интеллектуальное соревнование, целями которого являются повышение интереса школьников старших классов к аграрной генетике, селекции и смежным отраслям аграрной науки, а также выявление, поощрение, поддержка талантливых и мотивированных детей, повышение пре</w:t>
      </w:r>
      <w:r>
        <w:t xml:space="preserve">стижа аграрных специальностей. </w:t>
      </w:r>
    </w:p>
    <w:p w:rsidR="008D1DEE" w:rsidRDefault="00D62B9E">
      <w:pPr>
        <w:spacing w:after="129"/>
        <w:ind w:left="167" w:right="0"/>
      </w:pPr>
      <w:r>
        <w:t>«</w:t>
      </w:r>
      <w:proofErr w:type="spellStart"/>
      <w:r>
        <w:t>Иннагрика</w:t>
      </w:r>
      <w:proofErr w:type="spellEnd"/>
      <w:r>
        <w:t xml:space="preserve">» – первая профильная олимпиада по </w:t>
      </w:r>
      <w:proofErr w:type="spellStart"/>
      <w:r>
        <w:t>агрогенетике</w:t>
      </w:r>
      <w:proofErr w:type="spellEnd"/>
      <w:r>
        <w:t xml:space="preserve"> в России. Профиль Олимпиады соответствует общеобразовательному предмету «Биология».  </w:t>
      </w:r>
    </w:p>
    <w:p w:rsidR="008D1DEE" w:rsidRDefault="00D62B9E">
      <w:pPr>
        <w:spacing w:after="138" w:line="259" w:lineRule="auto"/>
        <w:ind w:left="742" w:right="603" w:hanging="10"/>
        <w:jc w:val="center"/>
      </w:pPr>
      <w:r>
        <w:t xml:space="preserve">Участниками Олимпиады могут стать школьники 9–11-х классов. </w:t>
      </w:r>
    </w:p>
    <w:p w:rsidR="008D1DEE" w:rsidRDefault="00D62B9E">
      <w:pPr>
        <w:spacing w:after="256"/>
        <w:ind w:left="167" w:right="0"/>
      </w:pPr>
      <w:r>
        <w:t>В Олимпиаде 2022/23</w:t>
      </w:r>
      <w:r>
        <w:t xml:space="preserve"> учебного года приняло участие более 3 000 школьников из 53 регионов России. </w:t>
      </w:r>
    </w:p>
    <w:p w:rsidR="008D1DEE" w:rsidRDefault="00D62B9E">
      <w:pPr>
        <w:pStyle w:val="1"/>
        <w:spacing w:after="297"/>
        <w:ind w:left="530" w:right="337"/>
      </w:pPr>
      <w:r>
        <w:t>Организаторы</w:t>
      </w:r>
      <w:r>
        <w:rPr>
          <w:i/>
        </w:rPr>
        <w:t xml:space="preserve"> </w:t>
      </w:r>
      <w:r>
        <w:t>Олимпиады</w:t>
      </w:r>
      <w:r>
        <w:rPr>
          <w:b w:val="0"/>
        </w:rPr>
        <w:t xml:space="preserve"> </w:t>
      </w:r>
    </w:p>
    <w:p w:rsidR="008D1DEE" w:rsidRDefault="00D62B9E">
      <w:pPr>
        <w:numPr>
          <w:ilvl w:val="0"/>
          <w:numId w:val="2"/>
        </w:numPr>
        <w:spacing w:after="107"/>
        <w:ind w:right="0" w:hanging="355"/>
      </w:pPr>
      <w:r>
        <w:t xml:space="preserve">Министерство науки и высшего образования Российской Федерации; </w:t>
      </w:r>
    </w:p>
    <w:p w:rsidR="008D1DEE" w:rsidRDefault="00D62B9E">
      <w:pPr>
        <w:numPr>
          <w:ilvl w:val="0"/>
          <w:numId w:val="2"/>
        </w:numPr>
        <w:spacing w:after="110"/>
        <w:ind w:right="0" w:hanging="355"/>
      </w:pPr>
      <w:r>
        <w:t xml:space="preserve">Министерство сельского хозяйства Российской Федерации; </w:t>
      </w:r>
    </w:p>
    <w:p w:rsidR="008D1DEE" w:rsidRDefault="00D62B9E">
      <w:pPr>
        <w:numPr>
          <w:ilvl w:val="0"/>
          <w:numId w:val="2"/>
        </w:numPr>
        <w:spacing w:after="155"/>
        <w:ind w:right="0" w:hanging="355"/>
      </w:pPr>
      <w:r>
        <w:t>Фонд поддержки научно-проектной де</w:t>
      </w:r>
      <w:r>
        <w:t xml:space="preserve">ятельности студентов, аспирантов и молодых ученых «Национальное интеллектуальное развитие»; </w:t>
      </w:r>
    </w:p>
    <w:p w:rsidR="008D1DEE" w:rsidRDefault="00D62B9E">
      <w:pPr>
        <w:numPr>
          <w:ilvl w:val="0"/>
          <w:numId w:val="2"/>
        </w:numPr>
        <w:spacing w:after="109"/>
        <w:ind w:right="0" w:hanging="355"/>
      </w:pPr>
      <w:r>
        <w:t xml:space="preserve">Национальный исследовательский центр «Курчатовский институт»; </w:t>
      </w:r>
    </w:p>
    <w:p w:rsidR="008D1DEE" w:rsidRDefault="00D62B9E">
      <w:pPr>
        <w:numPr>
          <w:ilvl w:val="0"/>
          <w:numId w:val="2"/>
        </w:numPr>
        <w:spacing w:after="252"/>
        <w:ind w:right="0" w:hanging="355"/>
      </w:pPr>
      <w:r>
        <w:t>Федеральное государственное бюджетное образовательное учреждение высшего образования «Российский гос</w:t>
      </w:r>
      <w:r>
        <w:t xml:space="preserve">ударственный аграрный университет – МСХА имени К.А. Тимирязева». </w:t>
      </w:r>
    </w:p>
    <w:p w:rsidR="008D1DEE" w:rsidRDefault="00D62B9E">
      <w:pPr>
        <w:pStyle w:val="1"/>
        <w:ind w:left="530" w:right="340"/>
      </w:pPr>
      <w:proofErr w:type="spellStart"/>
      <w:r>
        <w:t>Соорганизаторы</w:t>
      </w:r>
      <w:proofErr w:type="spellEnd"/>
      <w:r>
        <w:t xml:space="preserve"> Олимпиады </w:t>
      </w:r>
    </w:p>
    <w:p w:rsidR="008D1DEE" w:rsidRDefault="00D62B9E">
      <w:pPr>
        <w:spacing w:after="251"/>
        <w:ind w:left="167" w:right="0"/>
      </w:pPr>
      <w:r>
        <w:t xml:space="preserve">10 </w:t>
      </w:r>
      <w:r>
        <w:t xml:space="preserve">ведущих университетов России, имеющие выдающиеся научные школы в области сельского хозяйства, биотехнологий и </w:t>
      </w:r>
      <w:proofErr w:type="spellStart"/>
      <w:r>
        <w:t>агрогенетики</w:t>
      </w:r>
      <w:proofErr w:type="spellEnd"/>
      <w:r>
        <w:t xml:space="preserve">. Полный перечень опубликован на сайте Олимпиады. </w:t>
      </w:r>
    </w:p>
    <w:p w:rsidR="008D1DEE" w:rsidRDefault="00D62B9E">
      <w:pPr>
        <w:pStyle w:val="1"/>
        <w:ind w:left="530" w:right="338"/>
      </w:pPr>
      <w:r>
        <w:t xml:space="preserve">Льготы при поступлении в вузы </w:t>
      </w:r>
    </w:p>
    <w:p w:rsidR="008D1DEE" w:rsidRDefault="00D62B9E">
      <w:pPr>
        <w:ind w:left="167" w:right="0"/>
      </w:pPr>
      <w:r>
        <w:t>Олимпиада в 2023/24 учебном году войдет в перечень о</w:t>
      </w:r>
      <w:r>
        <w:t xml:space="preserve">лимпиад и их уровней Министерства науки и высшего образования. Олимпиаде </w:t>
      </w:r>
    </w:p>
    <w:p w:rsidR="008D1DEE" w:rsidRDefault="00D62B9E">
      <w:pPr>
        <w:spacing w:after="0" w:line="259" w:lineRule="auto"/>
        <w:ind w:left="182" w:right="0" w:firstLine="0"/>
        <w:jc w:val="center"/>
      </w:pPr>
      <w:r>
        <w:rPr>
          <w:sz w:val="24"/>
        </w:rPr>
        <w:t xml:space="preserve">2 </w:t>
      </w:r>
    </w:p>
    <w:p w:rsidR="008D1DEE" w:rsidRDefault="00D62B9E">
      <w:pPr>
        <w:spacing w:after="31" w:line="259" w:lineRule="auto"/>
        <w:ind w:left="182" w:right="0" w:firstLine="0"/>
        <w:jc w:val="left"/>
      </w:pPr>
      <w:r>
        <w:rPr>
          <w:sz w:val="22"/>
        </w:rPr>
        <w:lastRenderedPageBreak/>
        <w:t xml:space="preserve"> </w:t>
      </w:r>
    </w:p>
    <w:p w:rsidR="008D1DEE" w:rsidRDefault="00D62B9E">
      <w:pPr>
        <w:spacing w:after="251"/>
        <w:ind w:left="167" w:right="0" w:firstLine="0"/>
      </w:pPr>
      <w:r>
        <w:t>присвоен первый уровень, что дает право победителям и призерам Олимпиады право на зачисление в вузы без вступительных испытаний, получение 100 баллов к ЕГЭ при поступлении и дру</w:t>
      </w:r>
      <w:r>
        <w:t xml:space="preserve">гие льготы. </w:t>
      </w:r>
    </w:p>
    <w:p w:rsidR="008D1DEE" w:rsidRDefault="00D62B9E">
      <w:pPr>
        <w:pStyle w:val="1"/>
        <w:ind w:left="530" w:right="339"/>
      </w:pPr>
      <w:r>
        <w:t xml:space="preserve">Этапы Олимпиады </w:t>
      </w:r>
    </w:p>
    <w:p w:rsidR="008D1DEE" w:rsidRDefault="00D62B9E">
      <w:pPr>
        <w:spacing w:after="139"/>
        <w:ind w:left="167" w:right="0" w:firstLine="0"/>
      </w:pPr>
      <w:r>
        <w:t xml:space="preserve">Олимпиада проводится в 3 этапа: </w:t>
      </w:r>
    </w:p>
    <w:p w:rsidR="008D1DEE" w:rsidRDefault="00D62B9E">
      <w:pPr>
        <w:numPr>
          <w:ilvl w:val="0"/>
          <w:numId w:val="3"/>
        </w:numPr>
        <w:ind w:right="0" w:firstLine="851"/>
      </w:pPr>
      <w:r>
        <w:t>Отборочный этап в заочном формате с применением дистанционных технологий. В рамках отборочного этапа школьники в дистанционном формате решают олимпиадные задания по профилю «</w:t>
      </w:r>
      <w:proofErr w:type="spellStart"/>
      <w:r>
        <w:t>Агрогенетика</w:t>
      </w:r>
      <w:proofErr w:type="spellEnd"/>
      <w:r>
        <w:t>». Зада</w:t>
      </w:r>
      <w:r>
        <w:t xml:space="preserve">ния выполняются индивидуально. Даты проведения отборочного этапа – с 5 по 8 октября 2023 г. Регистрация для участия в отборочном этапе осуществляется с 4 сентября по 4 октября 2023 г. </w:t>
      </w:r>
    </w:p>
    <w:p w:rsidR="008D1DEE" w:rsidRDefault="00D62B9E">
      <w:pPr>
        <w:numPr>
          <w:ilvl w:val="0"/>
          <w:numId w:val="3"/>
        </w:numPr>
        <w:ind w:right="0" w:firstLine="851"/>
      </w:pPr>
      <w:r>
        <w:t>Полуфинал в очном формате. В рамках полуфинала школьники решают олимпиа</w:t>
      </w:r>
      <w:r>
        <w:t xml:space="preserve">дные и практико-ориентированные задания (кейсы) по биологии с включением реальных научно-исследовательских и производственных проблематик по тематике </w:t>
      </w:r>
      <w:proofErr w:type="spellStart"/>
      <w:r>
        <w:t>агрогенетики</w:t>
      </w:r>
      <w:proofErr w:type="spellEnd"/>
      <w:r>
        <w:t>. Даты проведения полуфинала – с 7 по 12 ноября 2023 г. Перечень регионов/площадок для проведе</w:t>
      </w:r>
      <w:r>
        <w:t xml:space="preserve">ния полуфинала будет опубликован на сайте Олимпиады.  </w:t>
      </w:r>
    </w:p>
    <w:p w:rsidR="008D1DEE" w:rsidRDefault="00D62B9E">
      <w:pPr>
        <w:numPr>
          <w:ilvl w:val="0"/>
          <w:numId w:val="3"/>
        </w:numPr>
        <w:spacing w:after="251"/>
        <w:ind w:right="0" w:firstLine="851"/>
      </w:pPr>
      <w:r>
        <w:t>Финал в очном формате. В рамках финала школьники соревнуются в двух турах: предметный тур представляет собой индивидуальное решение олимпиадных заданий по профилю «</w:t>
      </w:r>
      <w:proofErr w:type="spellStart"/>
      <w:r>
        <w:t>Агрогенетика</w:t>
      </w:r>
      <w:proofErr w:type="spellEnd"/>
      <w:r>
        <w:t>»; командный тур представ</w:t>
      </w:r>
      <w:r>
        <w:t xml:space="preserve">ляет собой командное решение </w:t>
      </w:r>
      <w:proofErr w:type="spellStart"/>
      <w:r>
        <w:t>практикоориентированных</w:t>
      </w:r>
      <w:proofErr w:type="spellEnd"/>
      <w:r>
        <w:t xml:space="preserve"> заданий (кейсов) по биологии с включением реальных научно-исследовательских и производственных проблематик по тематике </w:t>
      </w:r>
      <w:proofErr w:type="spellStart"/>
      <w:r>
        <w:t>агрогенетики</w:t>
      </w:r>
      <w:proofErr w:type="spellEnd"/>
      <w:r>
        <w:t xml:space="preserve">. Даты проведения финала – с 5 по 10 декабря 2023 г. </w:t>
      </w:r>
      <w:r>
        <w:rPr>
          <w:b/>
        </w:rPr>
        <w:t xml:space="preserve"> </w:t>
      </w:r>
    </w:p>
    <w:p w:rsidR="008D1DEE" w:rsidRDefault="00D62B9E">
      <w:pPr>
        <w:pStyle w:val="1"/>
        <w:spacing w:after="253" w:line="259" w:lineRule="auto"/>
        <w:ind w:left="2646" w:right="0" w:firstLine="0"/>
        <w:jc w:val="left"/>
      </w:pPr>
      <w:r>
        <w:t xml:space="preserve">Организационная поддержка участников </w:t>
      </w:r>
    </w:p>
    <w:p w:rsidR="008D1DEE" w:rsidRDefault="00D62B9E">
      <w:pPr>
        <w:ind w:left="167" w:right="0"/>
      </w:pPr>
      <w:r>
        <w:t>В целях подготовки участников по профилю Олимпиады на каждом из трех этапов проводятся образовательные курсы в заочном формате с применением дистанционных технологий, которые знакомят школьников с понятиями и принципам</w:t>
      </w:r>
      <w:r>
        <w:t xml:space="preserve">и </w:t>
      </w:r>
      <w:proofErr w:type="spellStart"/>
      <w:r>
        <w:t>агрогенетики</w:t>
      </w:r>
      <w:proofErr w:type="spellEnd"/>
      <w:r>
        <w:t xml:space="preserve"> и позволяют подготовиться к решению олимпиадных заданий.  </w:t>
      </w:r>
    </w:p>
    <w:p w:rsidR="008D1DEE" w:rsidRDefault="00D62B9E">
      <w:pPr>
        <w:ind w:left="167" w:right="0"/>
      </w:pPr>
      <w:r>
        <w:t>Все мероприятия Олимпиады являются бесплатными. Расходы на организацию пребывания участников на очных мероприятиях полуфинала и финала обеспечены организаторами Олимпиады, за исключе</w:t>
      </w:r>
      <w:r>
        <w:t xml:space="preserve">нием транспортных расходов для прибытия на площадки проведения полуфинала и финала и убытия с них. </w:t>
      </w:r>
    </w:p>
    <w:p w:rsidR="008D1DEE" w:rsidRDefault="00D62B9E">
      <w:pPr>
        <w:spacing w:after="0" w:line="259" w:lineRule="auto"/>
        <w:ind w:left="182" w:right="0" w:firstLine="0"/>
        <w:jc w:val="left"/>
      </w:pPr>
      <w:r>
        <w:t xml:space="preserve"> </w:t>
      </w:r>
    </w:p>
    <w:p w:rsidR="008D1DEE" w:rsidRDefault="008D1DEE">
      <w:pPr>
        <w:sectPr w:rsidR="008D1DEE">
          <w:pgSz w:w="11900" w:h="16840"/>
          <w:pgMar w:top="397" w:right="846" w:bottom="405" w:left="1519" w:header="720" w:footer="720" w:gutter="0"/>
          <w:cols w:space="720"/>
        </w:sectPr>
      </w:pP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44933</wp:posOffset>
            </wp:positionH>
            <wp:positionV relativeFrom="page">
              <wp:posOffset>60927</wp:posOffset>
            </wp:positionV>
            <wp:extent cx="7458457" cy="10634473"/>
            <wp:effectExtent l="0" t="0" r="0" b="0"/>
            <wp:wrapTopAndBottom/>
            <wp:docPr id="14388" name="Picture 14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8" name="Picture 1438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4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392" name="Picture 14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2" name="Picture 1439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396" name="Picture 14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" name="Picture 1439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00" name="Picture 14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0" name="Picture 1440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04" name="Picture 14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4" name="Picture 1440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08" name="Picture 14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8" name="Picture 1440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12" name="Picture 14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" name="Picture 1441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16" name="Picture 14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6" name="Picture 1441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20" name="Picture 14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" name="Picture 1442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24" name="Picture 14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4" name="Picture 144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D1DEE" w:rsidRDefault="00D62B9E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54091</wp:posOffset>
            </wp:positionH>
            <wp:positionV relativeFrom="page">
              <wp:posOffset>0</wp:posOffset>
            </wp:positionV>
            <wp:extent cx="7458457" cy="10631425"/>
            <wp:effectExtent l="0" t="0" r="0" b="0"/>
            <wp:wrapTopAndBottom/>
            <wp:docPr id="14428" name="Picture 14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" name="Picture 1442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8457" cy="1063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1DEE" w:rsidRDefault="008D1DEE">
      <w:pPr>
        <w:sectPr w:rsidR="008D1DEE">
          <w:pgSz w:w="11900" w:h="16840"/>
          <w:pgMar w:top="1440" w:right="1440" w:bottom="1440" w:left="1440" w:header="720" w:footer="720" w:gutter="0"/>
          <w:cols w:space="720"/>
        </w:sectPr>
      </w:pPr>
    </w:p>
    <w:p w:rsidR="008D1DEE" w:rsidRDefault="00D62B9E">
      <w:pPr>
        <w:spacing w:after="0" w:line="259" w:lineRule="auto"/>
        <w:ind w:left="3786" w:right="0" w:firstLine="0"/>
        <w:jc w:val="left"/>
      </w:pPr>
      <w:r>
        <w:rPr>
          <w:b/>
          <w:sz w:val="22"/>
        </w:rPr>
        <w:lastRenderedPageBreak/>
        <w:t xml:space="preserve">Список рассылки  </w:t>
      </w:r>
    </w:p>
    <w:tbl>
      <w:tblPr>
        <w:tblStyle w:val="TableGrid"/>
        <w:tblW w:w="9952" w:type="dxa"/>
        <w:tblInd w:w="-600" w:type="dxa"/>
        <w:tblCellMar>
          <w:top w:w="47" w:type="dxa"/>
          <w:left w:w="106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502"/>
        <w:gridCol w:w="9450"/>
      </w:tblGrid>
      <w:tr w:rsidR="008D1DEE">
        <w:trPr>
          <w:trHeight w:val="1075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D1DEE" w:rsidRDefault="00D62B9E">
            <w:pPr>
              <w:spacing w:after="0" w:line="259" w:lineRule="auto"/>
              <w:ind w:left="66" w:right="13" w:firstLine="0"/>
              <w:jc w:val="center"/>
            </w:pPr>
            <w:r>
              <w:rPr>
                <w:b/>
                <w:sz w:val="20"/>
              </w:rPr>
              <w:t xml:space="preserve">Наименование органов исполнительной власти субъектов Российской Федерации,  осуществляющих государственное управление в сфере образования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Адыгея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Алтай </w:t>
            </w:r>
          </w:p>
        </w:tc>
      </w:tr>
      <w:tr w:rsidR="008D1DEE">
        <w:trPr>
          <w:trHeight w:val="353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Управление по контролю и надзору в сфере образования Республики Башкортостан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Бурятия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Дагестан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Ингушетия </w:t>
            </w:r>
          </w:p>
        </w:tc>
      </w:tr>
      <w:tr w:rsidR="008D1DEE">
        <w:trPr>
          <w:trHeight w:val="288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просвещения, науки и по делам молодежи Кабардино-Балкарской Республики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Калмыкия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Карачаево-Черкесской Республики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Республики Карелия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образования, науки и молодежной политики Республики Коми </w:t>
            </w:r>
          </w:p>
        </w:tc>
      </w:tr>
      <w:tr w:rsidR="008D1DEE">
        <w:trPr>
          <w:trHeight w:val="25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образования, науки и молодежи Республики Крым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Марий Эл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Республики Мордовия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Саха (Якутия)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Северная Осетия - Алания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Татарстан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Тыва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19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Удмуртской Республики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Республики Хакасия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Чеченской Республики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Чувашской Республики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Алтайского края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Забайкальского края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Камчатского края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образования, науки и молодежной политики Краснодарского края </w:t>
            </w:r>
          </w:p>
        </w:tc>
      </w:tr>
      <w:tr w:rsidR="008D1DEE">
        <w:trPr>
          <w:trHeight w:val="25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Красноярского края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Пермского края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29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Приморского края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Ставропольского края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Хабаровского края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Амурской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Архангельской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Астраханской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Белгородской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и науки Брянской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молодежной политики Владимирской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Комитет образования, науки и молодежной политики Волгоградской области </w:t>
            </w:r>
          </w:p>
        </w:tc>
      </w:tr>
      <w:tr w:rsidR="008D1DEE">
        <w:trPr>
          <w:trHeight w:val="24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39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Вологодской области </w:t>
            </w:r>
          </w:p>
        </w:tc>
      </w:tr>
      <w:tr w:rsidR="008D1DEE">
        <w:trPr>
          <w:trHeight w:val="276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Воронежской области </w:t>
            </w:r>
          </w:p>
        </w:tc>
      </w:tr>
      <w:tr w:rsidR="008D1DEE">
        <w:trPr>
          <w:trHeight w:val="25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Ивановской области  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Иркутской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Калининградской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lastRenderedPageBreak/>
              <w:t xml:space="preserve">44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Калужской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Кемеровской области (Кузбасс)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Кировской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и науки Костромской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Департамент образования и науки Курганской области 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49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Комитет образования и науки Курской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50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Комитет общего и профессионального образования Ленинградской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51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Управление образования и науки Липецкой области 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52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Магаданской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3" w:right="0" w:firstLine="0"/>
              <w:jc w:val="left"/>
            </w:pPr>
            <w:r>
              <w:rPr>
                <w:sz w:val="20"/>
              </w:rPr>
              <w:t xml:space="preserve">53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2" w:right="0" w:firstLine="0"/>
              <w:jc w:val="left"/>
            </w:pPr>
            <w:r>
              <w:rPr>
                <w:sz w:val="20"/>
              </w:rPr>
              <w:t xml:space="preserve">Министерство образования Московской области </w:t>
            </w:r>
          </w:p>
        </w:tc>
      </w:tr>
    </w:tbl>
    <w:p w:rsidR="008D1DEE" w:rsidRDefault="00D62B9E">
      <w:pPr>
        <w:spacing w:after="0" w:line="259" w:lineRule="auto"/>
        <w:ind w:left="0" w:right="834" w:firstLine="0"/>
        <w:jc w:val="right"/>
      </w:pPr>
      <w:r>
        <w:rPr>
          <w:sz w:val="22"/>
        </w:rPr>
        <w:t xml:space="preserve">2 </w:t>
      </w:r>
    </w:p>
    <w:p w:rsidR="008D1DEE" w:rsidRDefault="00D62B9E">
      <w:pPr>
        <w:spacing w:after="0" w:line="259" w:lineRule="auto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9952" w:type="dxa"/>
        <w:tblInd w:w="-600" w:type="dxa"/>
        <w:tblCellMar>
          <w:top w:w="47" w:type="dxa"/>
          <w:left w:w="108" w:type="dxa"/>
          <w:bottom w:w="0" w:type="dxa"/>
          <w:right w:w="104" w:type="dxa"/>
        </w:tblCellMar>
        <w:tblLook w:val="04A0" w:firstRow="1" w:lastRow="0" w:firstColumn="1" w:lastColumn="0" w:noHBand="0" w:noVBand="1"/>
      </w:tblPr>
      <w:tblGrid>
        <w:gridCol w:w="502"/>
        <w:gridCol w:w="9450"/>
      </w:tblGrid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54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Мурманской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55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Нижегородской области </w:t>
            </w:r>
          </w:p>
        </w:tc>
      </w:tr>
      <w:tr w:rsidR="008D1DEE">
        <w:trPr>
          <w:trHeight w:val="25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56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Новгородской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57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Новосибирской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58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Омской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59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Оренбургской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 Орловской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Пензенской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Комитет образования Псковской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Региональная служба по надзору и контролю в сфере образования Ростовской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молодежной политики Рязанской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Самарской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Саратовской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Сахалинской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молодежной политики Свердловской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69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Смоленской области по образованию и науке </w:t>
            </w:r>
          </w:p>
        </w:tc>
      </w:tr>
      <w:tr w:rsidR="008D1DEE">
        <w:trPr>
          <w:trHeight w:val="25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Управление образования и науки Тамбовской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Тверской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науки и высшего образования Томской области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Тульской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 и науки Тюменской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Ульяновской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Челябинской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 Ярославской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 и науки города Москвы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79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Комитет по образованию Санкт-Петербурга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 города Севастополя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81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Комитет образования Еврейской автономной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82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образования, культуры и спорта Ненецкого автономного округа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83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 и молодежной политики ХМАО Югры </w:t>
            </w:r>
          </w:p>
        </w:tc>
      </w:tr>
      <w:tr w:rsidR="008D1DEE">
        <w:trPr>
          <w:trHeight w:val="250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84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Департамент образования, культуры и спорта Чукотского автономного округа </w:t>
            </w:r>
          </w:p>
        </w:tc>
      </w:tr>
      <w:tr w:rsidR="008D1DEE">
        <w:trPr>
          <w:trHeight w:val="252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85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>Департамент образования Ямало-</w:t>
            </w:r>
            <w:r>
              <w:rPr>
                <w:sz w:val="20"/>
              </w:rPr>
              <w:t xml:space="preserve">Ненецкого автономного округа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86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Донецкой Народной Республики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87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Луганской Народной Республики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88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и науки Запорожской области </w:t>
            </w:r>
          </w:p>
        </w:tc>
      </w:tr>
      <w:tr w:rsidR="008D1DEE">
        <w:trPr>
          <w:trHeight w:val="249"/>
        </w:trPr>
        <w:tc>
          <w:tcPr>
            <w:tcW w:w="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41" w:right="0" w:firstLine="0"/>
              <w:jc w:val="left"/>
            </w:pPr>
            <w:r>
              <w:rPr>
                <w:sz w:val="20"/>
              </w:rPr>
              <w:t xml:space="preserve">89 </w:t>
            </w:r>
          </w:p>
        </w:tc>
        <w:tc>
          <w:tcPr>
            <w:tcW w:w="9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DEE" w:rsidRDefault="00D62B9E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Министерство образования Херсонской области </w:t>
            </w:r>
          </w:p>
        </w:tc>
      </w:tr>
    </w:tbl>
    <w:p w:rsidR="008D1DEE" w:rsidRDefault="00D62B9E">
      <w:pPr>
        <w:spacing w:after="0" w:line="259" w:lineRule="auto"/>
        <w:ind w:left="0" w:right="0" w:firstLine="0"/>
        <w:jc w:val="left"/>
      </w:pPr>
      <w:r>
        <w:rPr>
          <w:sz w:val="22"/>
        </w:rPr>
        <w:lastRenderedPageBreak/>
        <w:t xml:space="preserve">  </w:t>
      </w:r>
    </w:p>
    <w:sectPr w:rsidR="008D1DEE">
      <w:pgSz w:w="11900" w:h="16840"/>
      <w:pgMar w:top="764" w:right="4634" w:bottom="1221" w:left="170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5606A7"/>
    <w:multiLevelType w:val="hybridMultilevel"/>
    <w:tmpl w:val="EA404640"/>
    <w:lvl w:ilvl="0" w:tplc="73FAB73A">
      <w:start w:val="1"/>
      <w:numFmt w:val="decimal"/>
      <w:lvlText w:val="%1."/>
      <w:lvlJc w:val="left"/>
      <w:pPr>
        <w:ind w:left="1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2342F3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DB424B0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A23FF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48AE4D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66E45A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CC4F5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AEC98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BF8962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86A0725"/>
    <w:multiLevelType w:val="hybridMultilevel"/>
    <w:tmpl w:val="A190886A"/>
    <w:lvl w:ilvl="0" w:tplc="E4926496">
      <w:start w:val="1"/>
      <w:numFmt w:val="bullet"/>
      <w:lvlText w:val="•"/>
      <w:lvlJc w:val="left"/>
      <w:pPr>
        <w:ind w:left="8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950EF66">
      <w:start w:val="1"/>
      <w:numFmt w:val="bullet"/>
      <w:lvlText w:val="o"/>
      <w:lvlJc w:val="left"/>
      <w:pPr>
        <w:ind w:left="14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33C88EC">
      <w:start w:val="1"/>
      <w:numFmt w:val="bullet"/>
      <w:lvlText w:val="▪"/>
      <w:lvlJc w:val="left"/>
      <w:pPr>
        <w:ind w:left="21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34C1768">
      <w:start w:val="1"/>
      <w:numFmt w:val="bullet"/>
      <w:lvlText w:val="•"/>
      <w:lvlJc w:val="left"/>
      <w:pPr>
        <w:ind w:left="287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1F436AE">
      <w:start w:val="1"/>
      <w:numFmt w:val="bullet"/>
      <w:lvlText w:val="o"/>
      <w:lvlJc w:val="left"/>
      <w:pPr>
        <w:ind w:left="359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4AEBB8E">
      <w:start w:val="1"/>
      <w:numFmt w:val="bullet"/>
      <w:lvlText w:val="▪"/>
      <w:lvlJc w:val="left"/>
      <w:pPr>
        <w:ind w:left="43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D5651A4">
      <w:start w:val="1"/>
      <w:numFmt w:val="bullet"/>
      <w:lvlText w:val="•"/>
      <w:lvlJc w:val="left"/>
      <w:pPr>
        <w:ind w:left="503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EE6D614">
      <w:start w:val="1"/>
      <w:numFmt w:val="bullet"/>
      <w:lvlText w:val="o"/>
      <w:lvlJc w:val="left"/>
      <w:pPr>
        <w:ind w:left="57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3E89B40">
      <w:start w:val="1"/>
      <w:numFmt w:val="bullet"/>
      <w:lvlText w:val="▪"/>
      <w:lvlJc w:val="left"/>
      <w:pPr>
        <w:ind w:left="64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2F2235B"/>
    <w:multiLevelType w:val="hybridMultilevel"/>
    <w:tmpl w:val="2442664C"/>
    <w:lvl w:ilvl="0" w:tplc="E5626098">
      <w:start w:val="1"/>
      <w:numFmt w:val="decimal"/>
      <w:lvlText w:val="%1."/>
      <w:lvlJc w:val="left"/>
      <w:pPr>
        <w:ind w:left="1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8F05BBA">
      <w:start w:val="1"/>
      <w:numFmt w:val="lowerLetter"/>
      <w:lvlText w:val="%2"/>
      <w:lvlJc w:val="left"/>
      <w:pPr>
        <w:ind w:left="19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4F2F308">
      <w:start w:val="1"/>
      <w:numFmt w:val="lowerRoman"/>
      <w:lvlText w:val="%3"/>
      <w:lvlJc w:val="left"/>
      <w:pPr>
        <w:ind w:left="2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44878F0">
      <w:start w:val="1"/>
      <w:numFmt w:val="decimal"/>
      <w:lvlText w:val="%4"/>
      <w:lvlJc w:val="left"/>
      <w:pPr>
        <w:ind w:left="3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DE4356E">
      <w:start w:val="1"/>
      <w:numFmt w:val="lowerLetter"/>
      <w:lvlText w:val="%5"/>
      <w:lvlJc w:val="left"/>
      <w:pPr>
        <w:ind w:left="4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8E6A84E">
      <w:start w:val="1"/>
      <w:numFmt w:val="lowerRoman"/>
      <w:lvlText w:val="%6"/>
      <w:lvlJc w:val="left"/>
      <w:pPr>
        <w:ind w:left="4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C40B76">
      <w:start w:val="1"/>
      <w:numFmt w:val="decimal"/>
      <w:lvlText w:val="%7"/>
      <w:lvlJc w:val="left"/>
      <w:pPr>
        <w:ind w:left="5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1A05BB8">
      <w:start w:val="1"/>
      <w:numFmt w:val="lowerLetter"/>
      <w:lvlText w:val="%8"/>
      <w:lvlJc w:val="left"/>
      <w:pPr>
        <w:ind w:left="6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8C099D0">
      <w:start w:val="1"/>
      <w:numFmt w:val="lowerRoman"/>
      <w:lvlText w:val="%9"/>
      <w:lvlJc w:val="left"/>
      <w:pPr>
        <w:ind w:left="6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1DEE"/>
    <w:rsid w:val="008D1DEE"/>
    <w:rsid w:val="00D62B9E"/>
    <w:rsid w:val="00FA6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52F9F9"/>
  <w15:docId w15:val="{0F5C6675-796A-41D8-8565-892F89EA2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2" w:line="267" w:lineRule="auto"/>
      <w:ind w:left="4815" w:right="575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267" w:line="249" w:lineRule="auto"/>
      <w:ind w:left="545" w:right="356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1368</Words>
  <Characters>7798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 по связям с общественностью</dc:creator>
  <cp:keywords/>
  <cp:lastModifiedBy>Методист по связям с общественностью</cp:lastModifiedBy>
  <cp:revision>2</cp:revision>
  <dcterms:created xsi:type="dcterms:W3CDTF">2023-09-22T03:13:00Z</dcterms:created>
  <dcterms:modified xsi:type="dcterms:W3CDTF">2023-09-22T03:13:00Z</dcterms:modified>
</cp:coreProperties>
</file>